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33" w:rsidRPr="004843C8" w:rsidRDefault="00C20433" w:rsidP="00C20433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4843C8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РЕЧНАЯ ВЫДРА</w:t>
      </w:r>
    </w:p>
    <w:p w:rsidR="00C20433" w:rsidRDefault="00C20433" w:rsidP="00C20433">
      <w:pPr>
        <w:spacing w:before="120" w:after="0" w:line="240" w:lineRule="auto"/>
        <w:jc w:val="center"/>
        <w:outlineLvl w:val="4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448209" cy="3240000"/>
            <wp:effectExtent l="19050" t="0" r="9241" b="0"/>
            <wp:docPr id="1" name="Рисунок 1" descr="http://igz.ilmeny.ac.ru/RED_BOOK/images/jiv_mlek_hishnik_vidra_rechnai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mlek_hishnik_vidra_rechnaia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09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33" w:rsidRDefault="00C20433" w:rsidP="00C20433">
      <w:pPr>
        <w:spacing w:before="120" w:after="0" w:line="240" w:lineRule="auto"/>
        <w:jc w:val="center"/>
        <w:outlineLvl w:val="4"/>
        <w:rPr>
          <w:rFonts w:ascii="Arial" w:eastAsia="Times New Roman" w:hAnsi="Arial" w:cs="Arial"/>
          <w:color w:val="000000" w:themeColor="text1"/>
          <w:sz w:val="30"/>
          <w:szCs w:val="30"/>
          <w:lang w:val="en-US" w:eastAsia="ru-RU"/>
        </w:rPr>
      </w:pPr>
    </w:p>
    <w:p w:rsidR="00C20433" w:rsidRPr="006C78CC" w:rsidRDefault="00C20433" w:rsidP="00C20433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C20433" w:rsidRPr="006C78CC" w:rsidRDefault="00C20433" w:rsidP="00C20433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color w:val="000000"/>
          <w:sz w:val="28"/>
          <w:szCs w:val="28"/>
        </w:rPr>
        <w:t>Вид с неуклонно сокращающейся численностью. Внесен в Красную книгу МСОП</w:t>
      </w:r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r w:rsidR="00B32A93" w:rsidRPr="006C78CC">
        <w:rPr>
          <w:rFonts w:asciiTheme="minorHAnsi" w:hAnsiTheme="minorHAnsi" w:cs="Arial"/>
          <w:bCs/>
          <w:color w:val="202122"/>
          <w:sz w:val="28"/>
          <w:szCs w:val="28"/>
          <w:shd w:val="clear" w:color="auto" w:fill="FFFFFF"/>
        </w:rPr>
        <w:t>Международный союз охраны природы и природных ресурсов),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Республики Башкортостан. Населяющий Челябинскую область подвид внесен в Красный список МСОП-96.</w:t>
      </w:r>
      <w:r w:rsidR="00B32A93" w:rsidRPr="006C78CC">
        <w:rPr>
          <w:rFonts w:asciiTheme="minorHAnsi" w:hAnsiTheme="minorHAnsi" w:cs="Arial"/>
          <w:b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C20433" w:rsidRPr="006C78CC" w:rsidRDefault="00C20433" w:rsidP="00C20433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C20433" w:rsidRPr="006C78CC" w:rsidRDefault="00C20433" w:rsidP="00C20433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color w:val="000000"/>
          <w:sz w:val="28"/>
          <w:szCs w:val="28"/>
        </w:rPr>
        <w:t>Европа (кроме Крымского п-ова), Азия (кроме Аравийского п-ова и районов Кр</w:t>
      </w:r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>айнего Севера), Северная Африка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20433" w:rsidRPr="006C78CC" w:rsidRDefault="00C20433" w:rsidP="00C20433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color w:val="000000"/>
          <w:sz w:val="28"/>
          <w:szCs w:val="28"/>
        </w:rPr>
        <w:t>На Урале встречается от тундр п-ова Ямал до Южного Урала включител</w:t>
      </w:r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>ьно, по долине р. Урал до устья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. В настоящее время выдра постоянно обитает в северо-западной части Челябинской области: бассейны рек Верхняя и Нижняя </w:t>
      </w:r>
      <w:proofErr w:type="spellStart"/>
      <w:r w:rsidRPr="006C78CC">
        <w:rPr>
          <w:rFonts w:asciiTheme="minorHAnsi" w:hAnsiTheme="minorHAnsi" w:cs="Arial"/>
          <w:color w:val="000000"/>
          <w:sz w:val="28"/>
          <w:szCs w:val="28"/>
        </w:rPr>
        <w:t>Бианка</w:t>
      </w:r>
      <w:proofErr w:type="spellEnd"/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 (</w:t>
      </w:r>
      <w:proofErr w:type="spellStart"/>
      <w:r w:rsidRPr="006C78CC">
        <w:rPr>
          <w:rFonts w:asciiTheme="minorHAnsi" w:hAnsiTheme="minorHAnsi" w:cs="Arial"/>
          <w:color w:val="000000"/>
          <w:sz w:val="28"/>
          <w:szCs w:val="28"/>
        </w:rPr>
        <w:t>Ашин</w:t>
      </w:r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>ский</w:t>
      </w:r>
      <w:proofErr w:type="spellEnd"/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 xml:space="preserve"> р-н), Ай, </w:t>
      </w:r>
      <w:proofErr w:type="spellStart"/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>Сула</w:t>
      </w:r>
      <w:proofErr w:type="spellEnd"/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>Нязя</w:t>
      </w:r>
      <w:proofErr w:type="spellEnd"/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 xml:space="preserve"> и Уфа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20433" w:rsidRPr="006C78CC" w:rsidRDefault="00C20433" w:rsidP="00C20433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C20433" w:rsidRPr="006C78CC" w:rsidRDefault="00C20433" w:rsidP="00C20433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Всегда была низкой. </w:t>
      </w:r>
      <w:proofErr w:type="gramStart"/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Во второй половине XIX в. малочисленная популяция </w:t>
      </w:r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 xml:space="preserve">речной выдры обитала по р. </w:t>
      </w:r>
      <w:proofErr w:type="spellStart"/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>Нязя</w:t>
      </w:r>
      <w:proofErr w:type="spellEnd"/>
      <w:r w:rsidRPr="006C78CC">
        <w:rPr>
          <w:rFonts w:asciiTheme="minorHAnsi" w:hAnsiTheme="minorHAnsi" w:cs="Arial"/>
          <w:color w:val="000000"/>
          <w:sz w:val="28"/>
          <w:szCs w:val="28"/>
        </w:rPr>
        <w:t>.</w:t>
      </w:r>
      <w:proofErr w:type="gramEnd"/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 В 1980-1988 гг. в области насчитывалось от 30 до 90 выдр, наибольшая численность вида отмечалась в бассейнах рек </w:t>
      </w:r>
      <w:proofErr w:type="spellStart"/>
      <w:r w:rsidRPr="006C78CC">
        <w:rPr>
          <w:rFonts w:asciiTheme="minorHAnsi" w:hAnsiTheme="minorHAnsi" w:cs="Arial"/>
          <w:color w:val="000000"/>
          <w:sz w:val="28"/>
          <w:szCs w:val="28"/>
        </w:rPr>
        <w:t>Нязя</w:t>
      </w:r>
      <w:proofErr w:type="spellEnd"/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 и Уфа. Современная численность вида в области неизвестна.</w:t>
      </w:r>
    </w:p>
    <w:p w:rsidR="00C20433" w:rsidRPr="006C78CC" w:rsidRDefault="00C20433" w:rsidP="00C20433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C20433" w:rsidRPr="006C78CC" w:rsidRDefault="00C20433" w:rsidP="00C20433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Околоводный хищник. Заселяет богатые рыбой водоемы. Предпочитает реки с прозрачной водой и быстрым течением, наличием полыней, тепляков, </w:t>
      </w:r>
      <w:proofErr w:type="spellStart"/>
      <w:r w:rsidRPr="006C78CC">
        <w:rPr>
          <w:rFonts w:asciiTheme="minorHAnsi" w:hAnsiTheme="minorHAnsi" w:cs="Arial"/>
          <w:color w:val="000000"/>
          <w:sz w:val="28"/>
          <w:szCs w:val="28"/>
        </w:rPr>
        <w:t>пустоледиц</w:t>
      </w:r>
      <w:proofErr w:type="spellEnd"/>
      <w:r w:rsidRPr="006C78CC">
        <w:rPr>
          <w:rFonts w:asciiTheme="minorHAnsi" w:hAnsiTheme="minorHAnsi" w:cs="Arial"/>
          <w:color w:val="000000"/>
          <w:sz w:val="28"/>
          <w:szCs w:val="28"/>
        </w:rPr>
        <w:t>. При отсутствии преследования хорошо уживается в условиях антропогенного ландшафта. Нору устраивает в непосредственной близости от водоема или использует норы бобра, ондатры, расщелины скал, ниши под кор</w:t>
      </w:r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>нями упавших деревьев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t xml:space="preserve">. При богатой кормовой базе может жить оседло на протяжении нескольких лет. При снижении запасов кормов совершает кочевки 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lastRenderedPageBreak/>
        <w:t>в места с лучшими условиями. Образ жизни скрытный, преимущественно сумеречный. Питается исключительно кормами животного происхождения: рыбой, лягушками, речными раками, реже мелкими млекопитающими, насекомыми, птицами. Четкий брачный период отсутствует, репродуктивного возраста достигает после 2 лет. Продолжительность беременности 63-74 суток. В помете от 1 до</w:t>
      </w:r>
      <w:r w:rsidR="00B32A93" w:rsidRPr="006C78CC">
        <w:rPr>
          <w:rFonts w:asciiTheme="minorHAnsi" w:hAnsiTheme="minorHAnsi" w:cs="Arial"/>
          <w:color w:val="000000"/>
          <w:sz w:val="28"/>
          <w:szCs w:val="28"/>
        </w:rPr>
        <w:t xml:space="preserve"> 4, обычно 2-3 детеныша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t>. Естественных врагов и конкурентов у выдры практически нет.</w:t>
      </w:r>
    </w:p>
    <w:p w:rsidR="00C20433" w:rsidRPr="006C78CC" w:rsidRDefault="00C20433" w:rsidP="00C20433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6C78CC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20433" w:rsidRPr="006C78CC" w:rsidRDefault="00C20433" w:rsidP="00C20433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color w:val="000000"/>
          <w:sz w:val="28"/>
          <w:szCs w:val="28"/>
        </w:rPr>
        <w:t>Чрезмерный промысел, отсутствие пригодных водоемов и достаточной кормовой базы, вырубка лесов и как следствие снижение уровня воды летом и промерзание водоемов зимой, техногенное загрязнение рек.</w:t>
      </w:r>
    </w:p>
    <w:p w:rsidR="00C20433" w:rsidRPr="006C78CC" w:rsidRDefault="00C20433" w:rsidP="00C20433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C20433" w:rsidRPr="006C78CC" w:rsidRDefault="00C20433" w:rsidP="00C20433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C78CC">
        <w:rPr>
          <w:rFonts w:asciiTheme="minorHAnsi" w:hAnsiTheme="minorHAnsi" w:cs="Arial"/>
          <w:color w:val="000000"/>
          <w:sz w:val="28"/>
          <w:szCs w:val="28"/>
        </w:rPr>
        <w:t>Необходимы запрет промысла, исследование особенностей биологии речной выдры на Южном Урале.</w:t>
      </w:r>
    </w:p>
    <w:p w:rsidR="00C20433" w:rsidRPr="006C78CC" w:rsidRDefault="00C20433" w:rsidP="00C20433">
      <w:pPr>
        <w:spacing w:before="120" w:after="0" w:line="240" w:lineRule="auto"/>
        <w:outlineLvl w:val="4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sectPr w:rsidR="00C20433" w:rsidRPr="006C78CC" w:rsidSect="00B32A9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33"/>
    <w:rsid w:val="000051D0"/>
    <w:rsid w:val="00090B62"/>
    <w:rsid w:val="000E3D56"/>
    <w:rsid w:val="003961C2"/>
    <w:rsid w:val="004843C8"/>
    <w:rsid w:val="006831E2"/>
    <w:rsid w:val="006C78CC"/>
    <w:rsid w:val="009E1409"/>
    <w:rsid w:val="00B32A93"/>
    <w:rsid w:val="00C2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E2"/>
  </w:style>
  <w:style w:type="paragraph" w:styleId="5">
    <w:name w:val="heading 5"/>
    <w:basedOn w:val="a"/>
    <w:link w:val="50"/>
    <w:uiPriority w:val="9"/>
    <w:qFormat/>
    <w:rsid w:val="00C204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4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204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3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20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C2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5</cp:revision>
  <cp:lastPrinted>2021-05-13T07:15:00Z</cp:lastPrinted>
  <dcterms:created xsi:type="dcterms:W3CDTF">2021-05-13T06:57:00Z</dcterms:created>
  <dcterms:modified xsi:type="dcterms:W3CDTF">2021-06-09T09:03:00Z</dcterms:modified>
</cp:coreProperties>
</file>